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92" w:rsidRPr="00453A5A" w:rsidRDefault="00880892" w:rsidP="00453A5A">
      <w:pPr>
        <w:jc w:val="center"/>
        <w:rPr>
          <w:b/>
          <w:sz w:val="36"/>
          <w:szCs w:val="36"/>
        </w:rPr>
      </w:pPr>
      <w:r w:rsidRPr="00453A5A">
        <w:rPr>
          <w:b/>
          <w:sz w:val="36"/>
          <w:szCs w:val="36"/>
        </w:rPr>
        <w:t>Assessment Process</w:t>
      </w:r>
    </w:p>
    <w:p w:rsidR="00604985" w:rsidRDefault="00604985" w:rsidP="00880892">
      <w:pPr>
        <w:pStyle w:val="ListParagraph"/>
        <w:jc w:val="center"/>
      </w:pPr>
    </w:p>
    <w:p w:rsidR="00604985" w:rsidRDefault="007B24D7" w:rsidP="003225EC">
      <w:pPr>
        <w:jc w:val="both"/>
      </w:pPr>
      <w:r>
        <w:t xml:space="preserve"> Amberleigh Care</w:t>
      </w:r>
      <w:r w:rsidR="00604985">
        <w:t xml:space="preserve"> offers a</w:t>
      </w:r>
      <w:r w:rsidR="00C35B8E">
        <w:t>n in-depth, evidence based 12 week assessment process</w:t>
      </w:r>
      <w:r w:rsidR="00604985">
        <w:t xml:space="preserve">. Our package </w:t>
      </w:r>
      <w:r w:rsidR="003225EC">
        <w:t>of assessment measures helps us to</w:t>
      </w:r>
      <w:r w:rsidR="00287AB4">
        <w:t xml:space="preserve"> establish a baseline for the young person when they arrive, </w:t>
      </w:r>
      <w:r w:rsidR="003225EC">
        <w:t xml:space="preserve"> identify the individual needs of the young person, understand the specific goals of the young person and what they want to work on, ensure the young person receives the support they require and finally to track progress during the intervention.</w:t>
      </w:r>
    </w:p>
    <w:p w:rsidR="00287AB4" w:rsidRDefault="00287AB4" w:rsidP="003225EC">
      <w:pPr>
        <w:jc w:val="both"/>
      </w:pPr>
    </w:p>
    <w:p w:rsidR="003225EC" w:rsidRPr="003225EC" w:rsidRDefault="003225EC" w:rsidP="003225EC">
      <w:pPr>
        <w:rPr>
          <w:color w:val="000000" w:themeColor="text1"/>
        </w:rPr>
      </w:pPr>
      <w:r w:rsidRPr="003225EC">
        <w:rPr>
          <w:color w:val="000000" w:themeColor="text1"/>
        </w:rPr>
        <w:t>The a</w:t>
      </w:r>
      <w:r>
        <w:rPr>
          <w:color w:val="000000" w:themeColor="text1"/>
        </w:rPr>
        <w:t xml:space="preserve">ssessment tools selected </w:t>
      </w:r>
      <w:r w:rsidRPr="003225EC">
        <w:rPr>
          <w:color w:val="000000" w:themeColor="text1"/>
        </w:rPr>
        <w:t>follow ICH</w:t>
      </w:r>
      <w:r>
        <w:rPr>
          <w:color w:val="000000" w:themeColor="text1"/>
        </w:rPr>
        <w:t xml:space="preserve">A assessment </w:t>
      </w:r>
      <w:r w:rsidR="007B24D7">
        <w:rPr>
          <w:color w:val="000000" w:themeColor="text1"/>
        </w:rPr>
        <w:t>recommendations. The recommendation state that the assessment process should give:</w:t>
      </w:r>
      <w:r w:rsidR="0099500F">
        <w:rPr>
          <w:color w:val="000000" w:themeColor="text1"/>
        </w:rPr>
        <w:t xml:space="preserve"> </w:t>
      </w:r>
    </w:p>
    <w:p w:rsidR="003225EC" w:rsidRPr="003225EC" w:rsidRDefault="003225EC" w:rsidP="003225EC">
      <w:pPr>
        <w:rPr>
          <w:color w:val="000000" w:themeColor="text1"/>
        </w:rPr>
      </w:pPr>
    </w:p>
    <w:p w:rsidR="003225EC" w:rsidRPr="003225EC" w:rsidRDefault="003225EC" w:rsidP="003225EC">
      <w:pPr>
        <w:pStyle w:val="ListParagraph"/>
        <w:numPr>
          <w:ilvl w:val="0"/>
          <w:numId w:val="3"/>
        </w:numPr>
        <w:rPr>
          <w:color w:val="000000" w:themeColor="text1"/>
        </w:rPr>
      </w:pPr>
      <w:r w:rsidRPr="003225EC">
        <w:rPr>
          <w:color w:val="000000" w:themeColor="text1"/>
        </w:rPr>
        <w:t xml:space="preserve">Broad Focus </w:t>
      </w:r>
      <w:r w:rsidR="00453A5A">
        <w:rPr>
          <w:color w:val="000000" w:themeColor="text1"/>
        </w:rPr>
        <w:t xml:space="preserve"> - to define placement needs and capture population data</w:t>
      </w:r>
    </w:p>
    <w:p w:rsidR="003225EC" w:rsidRPr="003225EC" w:rsidRDefault="003225EC" w:rsidP="003225EC">
      <w:pPr>
        <w:pStyle w:val="ListParagraph"/>
        <w:numPr>
          <w:ilvl w:val="0"/>
          <w:numId w:val="3"/>
        </w:numPr>
        <w:rPr>
          <w:color w:val="000000" w:themeColor="text1"/>
        </w:rPr>
      </w:pPr>
      <w:r w:rsidRPr="003225EC">
        <w:rPr>
          <w:color w:val="000000" w:themeColor="text1"/>
        </w:rPr>
        <w:t>Profile focus</w:t>
      </w:r>
      <w:r w:rsidR="00453A5A">
        <w:rPr>
          <w:color w:val="000000" w:themeColor="text1"/>
        </w:rPr>
        <w:t xml:space="preserve"> - to define individual placement needs for matching and target setting</w:t>
      </w:r>
    </w:p>
    <w:p w:rsidR="003225EC" w:rsidRPr="003225EC" w:rsidRDefault="003225EC" w:rsidP="003225EC">
      <w:pPr>
        <w:pStyle w:val="ListParagraph"/>
        <w:numPr>
          <w:ilvl w:val="0"/>
          <w:numId w:val="3"/>
        </w:numPr>
        <w:rPr>
          <w:color w:val="000000" w:themeColor="text1"/>
        </w:rPr>
      </w:pPr>
      <w:r w:rsidRPr="003225EC">
        <w:rPr>
          <w:color w:val="000000" w:themeColor="text1"/>
        </w:rPr>
        <w:t xml:space="preserve">Specific focus </w:t>
      </w:r>
      <w:r w:rsidR="00453A5A">
        <w:rPr>
          <w:color w:val="000000" w:themeColor="text1"/>
        </w:rPr>
        <w:t xml:space="preserve"> - to define intervention priorities and measure progress</w:t>
      </w:r>
    </w:p>
    <w:p w:rsidR="003225EC" w:rsidRPr="003225EC" w:rsidRDefault="003225EC" w:rsidP="003225EC">
      <w:pPr>
        <w:rPr>
          <w:color w:val="000000" w:themeColor="text1"/>
        </w:rPr>
      </w:pPr>
    </w:p>
    <w:p w:rsidR="00604985" w:rsidRPr="003225EC" w:rsidRDefault="003225EC" w:rsidP="003225EC">
      <w:pPr>
        <w:rPr>
          <w:color w:val="000000" w:themeColor="text1"/>
        </w:rPr>
      </w:pPr>
      <w:r>
        <w:rPr>
          <w:color w:val="000000" w:themeColor="text1"/>
        </w:rPr>
        <w:t xml:space="preserve">During the 12 week assessment the young person receives a comprehensive assessment and </w:t>
      </w:r>
      <w:r w:rsidR="001F1BFD">
        <w:rPr>
          <w:color w:val="000000" w:themeColor="text1"/>
        </w:rPr>
        <w:t>an in-depth assessment report is produced outlining the evidence based intervention plan. The following measures and assessment tools are used to support this process:</w:t>
      </w:r>
    </w:p>
    <w:p w:rsidR="00880892" w:rsidRPr="003225EC" w:rsidRDefault="00880892" w:rsidP="003225EC">
      <w:pPr>
        <w:pStyle w:val="ListParagraph"/>
        <w:rPr>
          <w:color w:val="000000" w:themeColor="text1"/>
        </w:rPr>
      </w:pPr>
    </w:p>
    <w:p w:rsidR="00880892" w:rsidRPr="001F1BFD" w:rsidRDefault="00453A5A" w:rsidP="001F1BFD">
      <w:pPr>
        <w:pStyle w:val="ListParagraph"/>
        <w:numPr>
          <w:ilvl w:val="0"/>
          <w:numId w:val="1"/>
        </w:numPr>
        <w:rPr>
          <w:color w:val="000000" w:themeColor="text1"/>
        </w:rPr>
      </w:pPr>
      <w:r>
        <w:rPr>
          <w:color w:val="000000" w:themeColor="text1"/>
        </w:rPr>
        <w:t>AIM</w:t>
      </w:r>
      <w:r w:rsidR="001F1BFD">
        <w:rPr>
          <w:color w:val="000000" w:themeColor="text1"/>
        </w:rPr>
        <w:t xml:space="preserve"> 2</w:t>
      </w:r>
    </w:p>
    <w:p w:rsidR="00880892" w:rsidRPr="003225EC" w:rsidRDefault="00880892" w:rsidP="003225EC">
      <w:pPr>
        <w:pStyle w:val="ListParagraph"/>
        <w:numPr>
          <w:ilvl w:val="0"/>
          <w:numId w:val="1"/>
        </w:numPr>
        <w:rPr>
          <w:color w:val="000000" w:themeColor="text1"/>
        </w:rPr>
      </w:pPr>
      <w:r w:rsidRPr="003225EC">
        <w:rPr>
          <w:color w:val="000000" w:themeColor="text1"/>
        </w:rPr>
        <w:t>Resiliency scales for adolescents</w:t>
      </w:r>
    </w:p>
    <w:p w:rsidR="00880892" w:rsidRPr="003225EC" w:rsidRDefault="00880892" w:rsidP="003225EC">
      <w:pPr>
        <w:pStyle w:val="ListParagraph"/>
        <w:numPr>
          <w:ilvl w:val="0"/>
          <w:numId w:val="1"/>
        </w:numPr>
        <w:rPr>
          <w:color w:val="000000" w:themeColor="text1"/>
        </w:rPr>
      </w:pPr>
      <w:r w:rsidRPr="003225EC">
        <w:rPr>
          <w:color w:val="000000" w:themeColor="text1"/>
        </w:rPr>
        <w:t>SDQ (which is also used as part of the educational assessment)</w:t>
      </w:r>
    </w:p>
    <w:p w:rsidR="00880892" w:rsidRPr="003225EC" w:rsidRDefault="00880892" w:rsidP="003225EC">
      <w:pPr>
        <w:pStyle w:val="ListParagraph"/>
        <w:numPr>
          <w:ilvl w:val="0"/>
          <w:numId w:val="1"/>
        </w:numPr>
        <w:rPr>
          <w:color w:val="000000" w:themeColor="text1"/>
        </w:rPr>
      </w:pPr>
      <w:r w:rsidRPr="003225EC">
        <w:rPr>
          <w:color w:val="000000" w:themeColor="text1"/>
        </w:rPr>
        <w:t>Becks youth inventory</w:t>
      </w:r>
    </w:p>
    <w:p w:rsidR="00880892" w:rsidRPr="003225EC" w:rsidRDefault="00880892" w:rsidP="003225EC">
      <w:pPr>
        <w:pStyle w:val="ListParagraph"/>
        <w:numPr>
          <w:ilvl w:val="0"/>
          <w:numId w:val="1"/>
        </w:numPr>
        <w:rPr>
          <w:color w:val="000000" w:themeColor="text1"/>
        </w:rPr>
      </w:pPr>
      <w:r w:rsidRPr="003225EC">
        <w:rPr>
          <w:color w:val="000000" w:themeColor="text1"/>
        </w:rPr>
        <w:t>HoNosca</w:t>
      </w:r>
    </w:p>
    <w:p w:rsidR="00880892" w:rsidRPr="003225EC" w:rsidRDefault="00880892" w:rsidP="003225EC">
      <w:pPr>
        <w:pStyle w:val="ListParagraph"/>
        <w:numPr>
          <w:ilvl w:val="0"/>
          <w:numId w:val="1"/>
        </w:numPr>
        <w:rPr>
          <w:color w:val="000000" w:themeColor="text1"/>
        </w:rPr>
      </w:pPr>
      <w:r w:rsidRPr="003225EC">
        <w:rPr>
          <w:color w:val="000000" w:themeColor="text1"/>
        </w:rPr>
        <w:t>TSCC (trauma checklist)</w:t>
      </w:r>
    </w:p>
    <w:p w:rsidR="00880892" w:rsidRPr="003225EC" w:rsidRDefault="00880892" w:rsidP="003225EC">
      <w:pPr>
        <w:pStyle w:val="ListParagraph"/>
        <w:numPr>
          <w:ilvl w:val="0"/>
          <w:numId w:val="1"/>
        </w:numPr>
        <w:rPr>
          <w:color w:val="000000" w:themeColor="text1"/>
        </w:rPr>
      </w:pPr>
      <w:r w:rsidRPr="003225EC">
        <w:rPr>
          <w:color w:val="000000" w:themeColor="text1"/>
        </w:rPr>
        <w:t>Assessment checklist for adolescents (ACA)</w:t>
      </w:r>
    </w:p>
    <w:p w:rsidR="00880892" w:rsidRPr="003225EC" w:rsidRDefault="00880892" w:rsidP="003225EC">
      <w:pPr>
        <w:pStyle w:val="ListParagraph"/>
        <w:numPr>
          <w:ilvl w:val="0"/>
          <w:numId w:val="1"/>
        </w:numPr>
        <w:rPr>
          <w:color w:val="000000" w:themeColor="text1"/>
        </w:rPr>
      </w:pPr>
      <w:r w:rsidRPr="003225EC">
        <w:rPr>
          <w:color w:val="000000" w:themeColor="text1"/>
        </w:rPr>
        <w:t>SAVR</w:t>
      </w:r>
      <w:r w:rsidR="001F1BFD">
        <w:rPr>
          <w:color w:val="000000" w:themeColor="text1"/>
        </w:rPr>
        <w:t>Y (where applicable)</w:t>
      </w:r>
    </w:p>
    <w:p w:rsidR="00880892" w:rsidRPr="003225EC" w:rsidRDefault="00880892" w:rsidP="003225EC">
      <w:pPr>
        <w:pStyle w:val="ListParagraph"/>
        <w:numPr>
          <w:ilvl w:val="0"/>
          <w:numId w:val="1"/>
        </w:numPr>
        <w:rPr>
          <w:color w:val="000000" w:themeColor="text1"/>
        </w:rPr>
      </w:pPr>
      <w:r w:rsidRPr="003225EC">
        <w:rPr>
          <w:color w:val="000000" w:themeColor="text1"/>
        </w:rPr>
        <w:t>Locus of control</w:t>
      </w:r>
    </w:p>
    <w:p w:rsidR="00880892" w:rsidRPr="003225EC" w:rsidRDefault="00880892" w:rsidP="003225EC">
      <w:pPr>
        <w:jc w:val="both"/>
        <w:rPr>
          <w:color w:val="000000" w:themeColor="text1"/>
        </w:rPr>
      </w:pPr>
    </w:p>
    <w:p w:rsidR="00880892" w:rsidRPr="003225EC" w:rsidRDefault="00880892" w:rsidP="003225EC">
      <w:pPr>
        <w:jc w:val="both"/>
        <w:rPr>
          <w:color w:val="000000" w:themeColor="text1"/>
        </w:rPr>
      </w:pPr>
      <w:r w:rsidRPr="003225EC">
        <w:rPr>
          <w:color w:val="000000" w:themeColor="text1"/>
        </w:rPr>
        <w:t>Also</w:t>
      </w:r>
      <w:r w:rsidR="001F1BFD">
        <w:rPr>
          <w:color w:val="000000" w:themeColor="text1"/>
        </w:rPr>
        <w:t xml:space="preserve"> an educational assessment including the;</w:t>
      </w:r>
    </w:p>
    <w:p w:rsidR="00880892" w:rsidRPr="003225EC" w:rsidRDefault="00E00672" w:rsidP="003225EC">
      <w:pPr>
        <w:pStyle w:val="ListParagraph"/>
        <w:numPr>
          <w:ilvl w:val="0"/>
          <w:numId w:val="2"/>
        </w:numPr>
        <w:jc w:val="both"/>
        <w:rPr>
          <w:color w:val="000000" w:themeColor="text1"/>
        </w:rPr>
      </w:pPr>
      <w:r>
        <w:rPr>
          <w:color w:val="000000" w:themeColor="text1"/>
        </w:rPr>
        <w:t xml:space="preserve">The WISC </w:t>
      </w:r>
    </w:p>
    <w:p w:rsidR="00880892" w:rsidRPr="00E00672" w:rsidRDefault="001F1BFD" w:rsidP="00E00672">
      <w:pPr>
        <w:pStyle w:val="ListParagraph"/>
        <w:numPr>
          <w:ilvl w:val="0"/>
          <w:numId w:val="2"/>
        </w:numPr>
        <w:jc w:val="both"/>
        <w:rPr>
          <w:color w:val="1F497D"/>
        </w:rPr>
      </w:pPr>
      <w:r w:rsidRPr="00E00672">
        <w:rPr>
          <w:color w:val="000000" w:themeColor="text1"/>
        </w:rPr>
        <w:t xml:space="preserve">AAB </w:t>
      </w:r>
    </w:p>
    <w:p w:rsidR="00E00672" w:rsidRDefault="00E00672" w:rsidP="003225EC">
      <w:pPr>
        <w:jc w:val="both"/>
        <w:rPr>
          <w:color w:val="1F497D"/>
        </w:rPr>
      </w:pPr>
      <w:bookmarkStart w:id="0" w:name="_GoBack"/>
      <w:bookmarkEnd w:id="0"/>
    </w:p>
    <w:p w:rsidR="00E00672" w:rsidRDefault="00E00672" w:rsidP="003225EC">
      <w:pPr>
        <w:jc w:val="both"/>
        <w:rPr>
          <w:color w:val="000000" w:themeColor="text1"/>
        </w:rPr>
      </w:pPr>
      <w:r>
        <w:rPr>
          <w:color w:val="000000" w:themeColor="text1"/>
        </w:rPr>
        <w:t>To ensure that the young person is receiving the best possible interventions we review individual progress on a quarterly basis. Alongside this we regularly repeat certain measures to track individual progress and to adapt the intervention plan if required.</w:t>
      </w:r>
    </w:p>
    <w:p w:rsidR="00E00672" w:rsidRDefault="00E00672" w:rsidP="003225EC">
      <w:pPr>
        <w:jc w:val="both"/>
        <w:rPr>
          <w:color w:val="000000" w:themeColor="text1"/>
        </w:rPr>
      </w:pPr>
    </w:p>
    <w:p w:rsidR="00E00672" w:rsidRDefault="00E00672" w:rsidP="003225EC">
      <w:pPr>
        <w:jc w:val="both"/>
        <w:rPr>
          <w:color w:val="000000" w:themeColor="text1"/>
        </w:rPr>
      </w:pPr>
      <w:r>
        <w:rPr>
          <w:color w:val="000000" w:themeColor="text1"/>
        </w:rPr>
        <w:t>At Amberleigh care the young person’s experience of the care and interventions they receive</w:t>
      </w:r>
      <w:r w:rsidR="007B24D7">
        <w:rPr>
          <w:color w:val="000000" w:themeColor="text1"/>
        </w:rPr>
        <w:t xml:space="preserve"> are </w:t>
      </w:r>
      <w:r w:rsidR="00287AB4">
        <w:rPr>
          <w:color w:val="000000" w:themeColor="text1"/>
        </w:rPr>
        <w:t>integral</w:t>
      </w:r>
      <w:r w:rsidR="007B24D7">
        <w:rPr>
          <w:color w:val="000000" w:themeColor="text1"/>
        </w:rPr>
        <w:t xml:space="preserve"> to what we do.</w:t>
      </w:r>
      <w:r>
        <w:rPr>
          <w:color w:val="000000" w:themeColor="text1"/>
        </w:rPr>
        <w:t xml:space="preserve"> </w:t>
      </w:r>
      <w:r w:rsidR="007B24D7">
        <w:rPr>
          <w:color w:val="000000" w:themeColor="text1"/>
        </w:rPr>
        <w:t>W</w:t>
      </w:r>
      <w:r>
        <w:rPr>
          <w:color w:val="000000" w:themeColor="text1"/>
        </w:rPr>
        <w:t>e use session feedback tools and environmental measures</w:t>
      </w:r>
      <w:r w:rsidR="007B24D7">
        <w:rPr>
          <w:color w:val="000000" w:themeColor="text1"/>
        </w:rPr>
        <w:t xml:space="preserve"> to understand this experience; we use this information to inform our practice, ensuring that the young person’s needs are central. </w:t>
      </w:r>
    </w:p>
    <w:p w:rsidR="00287AB4" w:rsidRDefault="00287AB4" w:rsidP="003225EC">
      <w:pPr>
        <w:jc w:val="both"/>
        <w:rPr>
          <w:color w:val="000000" w:themeColor="text1"/>
        </w:rPr>
      </w:pPr>
    </w:p>
    <w:p w:rsidR="001D5D6B" w:rsidRPr="00453A5A" w:rsidRDefault="00287AB4" w:rsidP="003225EC">
      <w:pPr>
        <w:jc w:val="both"/>
        <w:rPr>
          <w:color w:val="000000" w:themeColor="text1"/>
        </w:rPr>
      </w:pPr>
      <w:r>
        <w:rPr>
          <w:color w:val="000000" w:themeColor="text1"/>
        </w:rPr>
        <w:t xml:space="preserve">At the end of placement a comprehensive End of placement report is completed which not only outlines the work that has been completed during the placement and a future reintegration plan but also demonstrates the impact and experience of the placement. </w:t>
      </w:r>
    </w:p>
    <w:sectPr w:rsidR="001D5D6B" w:rsidRPr="00453A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5A" w:rsidRDefault="00453A5A" w:rsidP="00453A5A">
      <w:r>
        <w:separator/>
      </w:r>
    </w:p>
  </w:endnote>
  <w:endnote w:type="continuationSeparator" w:id="0">
    <w:p w:rsidR="00453A5A" w:rsidRDefault="00453A5A" w:rsidP="0045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5A" w:rsidRDefault="00453A5A" w:rsidP="00453A5A">
      <w:r>
        <w:separator/>
      </w:r>
    </w:p>
  </w:footnote>
  <w:footnote w:type="continuationSeparator" w:id="0">
    <w:p w:rsidR="00453A5A" w:rsidRDefault="00453A5A" w:rsidP="00453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5A" w:rsidRDefault="00453A5A" w:rsidP="00453A5A">
    <w:pPr>
      <w:pStyle w:val="Header"/>
      <w:jc w:val="center"/>
    </w:pPr>
    <w:r>
      <w:rPr>
        <w:noProof/>
        <w:lang w:eastAsia="en-GB"/>
      </w:rPr>
      <w:drawing>
        <wp:inline distT="0" distB="0" distL="0" distR="0" wp14:anchorId="1A0C416E">
          <wp:extent cx="4627245" cy="10179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7245" cy="10179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107C4"/>
    <w:multiLevelType w:val="hybridMultilevel"/>
    <w:tmpl w:val="09288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9F4570D"/>
    <w:multiLevelType w:val="hybridMultilevel"/>
    <w:tmpl w:val="92565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B0350C8"/>
    <w:multiLevelType w:val="hybridMultilevel"/>
    <w:tmpl w:val="95C06200"/>
    <w:lvl w:ilvl="0" w:tplc="12EE8D14">
      <w:start w:val="1"/>
      <w:numFmt w:val="bullet"/>
      <w:lvlText w:val=""/>
      <w:lvlJc w:val="left"/>
      <w:pPr>
        <w:ind w:left="786" w:hanging="360"/>
      </w:pPr>
      <w:rPr>
        <w:rFonts w:ascii="Symbol" w:hAnsi="Symbol" w:hint="default"/>
        <w:color w:val="000000" w:themeColor="text1"/>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3">
    <w:nsid w:val="662F769D"/>
    <w:multiLevelType w:val="hybridMultilevel"/>
    <w:tmpl w:val="4BAC5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92"/>
    <w:rsid w:val="000F5EB7"/>
    <w:rsid w:val="001D5D6B"/>
    <w:rsid w:val="001E00C4"/>
    <w:rsid w:val="001F1BFD"/>
    <w:rsid w:val="00287AB4"/>
    <w:rsid w:val="003225EC"/>
    <w:rsid w:val="00453A5A"/>
    <w:rsid w:val="005D63D4"/>
    <w:rsid w:val="00604985"/>
    <w:rsid w:val="007B24D7"/>
    <w:rsid w:val="00805A15"/>
    <w:rsid w:val="00880892"/>
    <w:rsid w:val="0099500F"/>
    <w:rsid w:val="00C35B8E"/>
    <w:rsid w:val="00E00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892"/>
    <w:pPr>
      <w:ind w:left="720"/>
    </w:pPr>
  </w:style>
  <w:style w:type="paragraph" w:styleId="BalloonText">
    <w:name w:val="Balloon Text"/>
    <w:basedOn w:val="Normal"/>
    <w:link w:val="BalloonTextChar"/>
    <w:uiPriority w:val="99"/>
    <w:semiHidden/>
    <w:unhideWhenUsed/>
    <w:rsid w:val="00880892"/>
    <w:rPr>
      <w:rFonts w:ascii="Tahoma" w:hAnsi="Tahoma" w:cs="Tahoma"/>
      <w:sz w:val="16"/>
      <w:szCs w:val="16"/>
    </w:rPr>
  </w:style>
  <w:style w:type="character" w:customStyle="1" w:styleId="BalloonTextChar">
    <w:name w:val="Balloon Text Char"/>
    <w:basedOn w:val="DefaultParagraphFont"/>
    <w:link w:val="BalloonText"/>
    <w:uiPriority w:val="99"/>
    <w:semiHidden/>
    <w:rsid w:val="00880892"/>
    <w:rPr>
      <w:rFonts w:ascii="Tahoma" w:hAnsi="Tahoma" w:cs="Tahoma"/>
      <w:sz w:val="16"/>
      <w:szCs w:val="16"/>
    </w:rPr>
  </w:style>
  <w:style w:type="paragraph" w:styleId="Header">
    <w:name w:val="header"/>
    <w:basedOn w:val="Normal"/>
    <w:link w:val="HeaderChar"/>
    <w:uiPriority w:val="99"/>
    <w:unhideWhenUsed/>
    <w:rsid w:val="00453A5A"/>
    <w:pPr>
      <w:tabs>
        <w:tab w:val="center" w:pos="4513"/>
        <w:tab w:val="right" w:pos="9026"/>
      </w:tabs>
    </w:pPr>
  </w:style>
  <w:style w:type="character" w:customStyle="1" w:styleId="HeaderChar">
    <w:name w:val="Header Char"/>
    <w:basedOn w:val="DefaultParagraphFont"/>
    <w:link w:val="Header"/>
    <w:uiPriority w:val="99"/>
    <w:rsid w:val="00453A5A"/>
    <w:rPr>
      <w:rFonts w:ascii="Calibri" w:hAnsi="Calibri" w:cs="Times New Roman"/>
    </w:rPr>
  </w:style>
  <w:style w:type="paragraph" w:styleId="Footer">
    <w:name w:val="footer"/>
    <w:basedOn w:val="Normal"/>
    <w:link w:val="FooterChar"/>
    <w:uiPriority w:val="99"/>
    <w:unhideWhenUsed/>
    <w:rsid w:val="00453A5A"/>
    <w:pPr>
      <w:tabs>
        <w:tab w:val="center" w:pos="4513"/>
        <w:tab w:val="right" w:pos="9026"/>
      </w:tabs>
    </w:pPr>
  </w:style>
  <w:style w:type="character" w:customStyle="1" w:styleId="FooterChar">
    <w:name w:val="Footer Char"/>
    <w:basedOn w:val="DefaultParagraphFont"/>
    <w:link w:val="Footer"/>
    <w:uiPriority w:val="99"/>
    <w:rsid w:val="00453A5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892"/>
    <w:pPr>
      <w:ind w:left="720"/>
    </w:pPr>
  </w:style>
  <w:style w:type="paragraph" w:styleId="BalloonText">
    <w:name w:val="Balloon Text"/>
    <w:basedOn w:val="Normal"/>
    <w:link w:val="BalloonTextChar"/>
    <w:uiPriority w:val="99"/>
    <w:semiHidden/>
    <w:unhideWhenUsed/>
    <w:rsid w:val="00880892"/>
    <w:rPr>
      <w:rFonts w:ascii="Tahoma" w:hAnsi="Tahoma" w:cs="Tahoma"/>
      <w:sz w:val="16"/>
      <w:szCs w:val="16"/>
    </w:rPr>
  </w:style>
  <w:style w:type="character" w:customStyle="1" w:styleId="BalloonTextChar">
    <w:name w:val="Balloon Text Char"/>
    <w:basedOn w:val="DefaultParagraphFont"/>
    <w:link w:val="BalloonText"/>
    <w:uiPriority w:val="99"/>
    <w:semiHidden/>
    <w:rsid w:val="00880892"/>
    <w:rPr>
      <w:rFonts w:ascii="Tahoma" w:hAnsi="Tahoma" w:cs="Tahoma"/>
      <w:sz w:val="16"/>
      <w:szCs w:val="16"/>
    </w:rPr>
  </w:style>
  <w:style w:type="paragraph" w:styleId="Header">
    <w:name w:val="header"/>
    <w:basedOn w:val="Normal"/>
    <w:link w:val="HeaderChar"/>
    <w:uiPriority w:val="99"/>
    <w:unhideWhenUsed/>
    <w:rsid w:val="00453A5A"/>
    <w:pPr>
      <w:tabs>
        <w:tab w:val="center" w:pos="4513"/>
        <w:tab w:val="right" w:pos="9026"/>
      </w:tabs>
    </w:pPr>
  </w:style>
  <w:style w:type="character" w:customStyle="1" w:styleId="HeaderChar">
    <w:name w:val="Header Char"/>
    <w:basedOn w:val="DefaultParagraphFont"/>
    <w:link w:val="Header"/>
    <w:uiPriority w:val="99"/>
    <w:rsid w:val="00453A5A"/>
    <w:rPr>
      <w:rFonts w:ascii="Calibri" w:hAnsi="Calibri" w:cs="Times New Roman"/>
    </w:rPr>
  </w:style>
  <w:style w:type="paragraph" w:styleId="Footer">
    <w:name w:val="footer"/>
    <w:basedOn w:val="Normal"/>
    <w:link w:val="FooterChar"/>
    <w:uiPriority w:val="99"/>
    <w:unhideWhenUsed/>
    <w:rsid w:val="00453A5A"/>
    <w:pPr>
      <w:tabs>
        <w:tab w:val="center" w:pos="4513"/>
        <w:tab w:val="right" w:pos="9026"/>
      </w:tabs>
    </w:pPr>
  </w:style>
  <w:style w:type="character" w:customStyle="1" w:styleId="FooterChar">
    <w:name w:val="Footer Char"/>
    <w:basedOn w:val="DefaultParagraphFont"/>
    <w:link w:val="Footer"/>
    <w:uiPriority w:val="99"/>
    <w:rsid w:val="00453A5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Russell</dc:creator>
  <cp:lastModifiedBy>Kevin Gallagher</cp:lastModifiedBy>
  <cp:revision>3</cp:revision>
  <dcterms:created xsi:type="dcterms:W3CDTF">2016-02-04T11:05:00Z</dcterms:created>
  <dcterms:modified xsi:type="dcterms:W3CDTF">2016-03-16T14:20:00Z</dcterms:modified>
</cp:coreProperties>
</file>